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1D53EB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3374F">
        <w:rPr>
          <w:rStyle w:val="a6"/>
          <w:color w:val="202020"/>
          <w:sz w:val="28"/>
          <w:szCs w:val="28"/>
        </w:rPr>
        <w:t>Ковбенко Ганни Сергіївни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EA6C83C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3374F">
        <w:rPr>
          <w:rStyle w:val="a6"/>
          <w:color w:val="202020"/>
          <w:sz w:val="28"/>
          <w:szCs w:val="28"/>
        </w:rPr>
        <w:t>Ковбенко Ганни Сергіївни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13374F">
        <w:rPr>
          <w:color w:val="202020"/>
          <w:sz w:val="28"/>
          <w:szCs w:val="28"/>
        </w:rPr>
        <w:t>організаційного забезпечення та реалізації місцевих програм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8B60A01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13374F">
        <w:rPr>
          <w:rStyle w:val="a6"/>
          <w:color w:val="202020"/>
          <w:sz w:val="28"/>
          <w:szCs w:val="28"/>
        </w:rPr>
        <w:t>Ковбенко Г.С.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31</cp:revision>
  <dcterms:created xsi:type="dcterms:W3CDTF">2015-04-21T14:36:00Z</dcterms:created>
  <dcterms:modified xsi:type="dcterms:W3CDTF">2025-08-20T09:34:00Z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